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2024年3月10日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萬軍之耶和華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每一天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有祢同行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6:1-19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持续不断的争战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重建城墙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持续不断的争战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6:1-19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仇敌的谋害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同胞的试探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未完的争战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歡迎弟兄姊妹及朋友來參加我們的主日崇拜。請你在散會後到圖書館左邊(201號室)來賓歡迎中心，讓我們更多認識你。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下次的受洗典禮將於3月31日主日舉行。如果你有意要受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洗，請聯系任何一位牧師或執事。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3月29日晚上7:30在母堂舉行受難日崇拜。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今天日下午5:00-6:00李燕光牧師在母堂主講題為救亡救心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，守夜同心的講座 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今天下午 1:30-4:30 兒童主日事工部在Harris Whalen Park舉行雪橇日活動。希望見到你和你的孩子。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本周三3月13日晚7:30葉依芹弟兄在西區帶領英語查經。這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個查經班的主要對象是大學生和其他年輕人。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我們正在評估大家對7月22-26舉行兒童音樂聖經營的興趣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。請禱告願主賜給我們明確的方向。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本教會2024年退修會將於國殤日周末5月25-27在霍頓大學舉行，由蔡景暉牧師主講。詳情待定。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